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506" w:rsidRPr="00E56AD9" w:rsidRDefault="00056506" w:rsidP="00056506">
      <w:pPr>
        <w:spacing w:after="120" w:line="240" w:lineRule="auto"/>
        <w:rPr>
          <w:rFonts w:asciiTheme="minorHAnsi" w:eastAsia="Times New Roman" w:hAnsiTheme="minorHAnsi" w:cstheme="minorHAnsi"/>
          <w:b/>
          <w:bCs/>
          <w:sz w:val="24"/>
          <w:szCs w:val="24"/>
          <w:lang w:eastAsia="cs-CZ"/>
        </w:rPr>
      </w:pPr>
      <w:r w:rsidRPr="00E56AD9">
        <w:rPr>
          <w:rFonts w:asciiTheme="minorHAnsi" w:eastAsia="Times New Roman" w:hAnsiTheme="minorHAnsi" w:cstheme="minorHAnsi"/>
          <w:b/>
          <w:bCs/>
          <w:caps/>
          <w:sz w:val="36"/>
          <w:lang w:eastAsia="cs-CZ"/>
        </w:rPr>
        <w:t xml:space="preserve">Instruktáž pro vstup a krátkodobý pracovní pobyt </w:t>
      </w:r>
      <w:r w:rsidRPr="00E56AD9">
        <w:rPr>
          <w:rFonts w:asciiTheme="minorHAnsi" w:eastAsia="Times New Roman" w:hAnsiTheme="minorHAnsi" w:cstheme="minorHAnsi"/>
          <w:b/>
          <w:bCs/>
          <w:caps/>
          <w:sz w:val="36"/>
          <w:lang w:eastAsia="cs-CZ"/>
        </w:rPr>
        <w:br/>
      </w:r>
      <w:r w:rsidRPr="00E56AD9">
        <w:rPr>
          <w:rFonts w:asciiTheme="minorHAnsi" w:eastAsia="Times New Roman" w:hAnsiTheme="minorHAnsi" w:cstheme="minorHAnsi"/>
          <w:b/>
          <w:bCs/>
          <w:sz w:val="24"/>
          <w:szCs w:val="24"/>
          <w:lang w:eastAsia="cs-CZ"/>
        </w:rPr>
        <w:t>v areálu Spolku pro chemickou a hutní výrobu, akciová společnost (ARSPOL)</w:t>
      </w:r>
    </w:p>
    <w:p w:rsidR="00056506" w:rsidRPr="00056506" w:rsidRDefault="00056506" w:rsidP="00056506">
      <w:pPr>
        <w:spacing w:after="120" w:line="240" w:lineRule="auto"/>
        <w:rPr>
          <w:rFonts w:asciiTheme="minorHAnsi" w:eastAsia="Times New Roman" w:hAnsiTheme="minorHAnsi" w:cstheme="minorHAnsi"/>
          <w:sz w:val="24"/>
          <w:szCs w:val="20"/>
          <w:lang w:eastAsia="cs-CZ"/>
        </w:rPr>
      </w:pPr>
    </w:p>
    <w:p w:rsidR="00056506" w:rsidRPr="00056506" w:rsidRDefault="00056506" w:rsidP="00056506">
      <w:pPr>
        <w:spacing w:before="120" w:after="120" w:line="240" w:lineRule="auto"/>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Na všechny osoby, které vstupují do areálu, se vztahuje v odpovídající míře  vnitropodniková  legislativa. Za seznámení s touto  legislativou  je  odpovědný ten, kdo uzavírá smlouvu (pracovníci externích firem), nebo pracovní poměr (nově nastupující zaměstnanci) a požaduje vstup do areálu.</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w:t>
      </w:r>
      <w:r w:rsidRPr="00056506">
        <w:rPr>
          <w:rFonts w:asciiTheme="minorHAnsi" w:eastAsia="Times New Roman" w:hAnsiTheme="minorHAnsi" w:cstheme="minorHAnsi"/>
          <w:sz w:val="14"/>
          <w:szCs w:val="14"/>
          <w:lang w:eastAsia="cs-CZ"/>
        </w:rPr>
        <w:t>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 xml:space="preserve">Vstup  i výstup  z areálu   je  možný pouze  po přiložení čipové karty na terminál  umístěný na turniketech, nebo na navštívenku. Zaměstnanci bezpečnostní agentury zajišťující ostrahu na vrátnicích (dozorčí služby)  mají  právo  vyžádat  si  ke  kontrole  průkaz totožnosti.  Ztrátu čipové karty neprodleně nahlaste. </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2.</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Při odchodu z areálu jste povinni na vyzvání předložit ke kontrole svá zavazadla, případně se na požádání podrobit osobní  prohlídce.</w:t>
      </w:r>
      <w:r w:rsidRPr="00056506">
        <w:rPr>
          <w:rFonts w:asciiTheme="minorHAnsi" w:eastAsia="Times New Roman" w:hAnsiTheme="minorHAnsi" w:cstheme="minorHAnsi"/>
          <w:sz w:val="14"/>
          <w:szCs w:val="14"/>
          <w:lang w:eastAsia="cs-CZ"/>
        </w:rPr>
        <w:t xml:space="preserve"> </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3.</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Do a z areálu  je zakázáno přinášení i odnášení výrobků takové povahy, které</w:t>
      </w:r>
      <w:r w:rsidRPr="00056506">
        <w:rPr>
          <w:rFonts w:asciiTheme="minorHAnsi" w:eastAsia="Times New Roman" w:hAnsiTheme="minorHAnsi" w:cstheme="minorHAnsi"/>
          <w:lang w:eastAsia="cs-CZ"/>
        </w:rPr>
        <w:t xml:space="preserve"> </w:t>
      </w:r>
      <w:r w:rsidRPr="00056506">
        <w:rPr>
          <w:rFonts w:asciiTheme="minorHAnsi" w:eastAsia="Times New Roman" w:hAnsiTheme="minorHAnsi" w:cstheme="minorHAnsi"/>
          <w:sz w:val="20"/>
          <w:szCs w:val="20"/>
          <w:lang w:eastAsia="cs-CZ"/>
        </w:rPr>
        <w:t>se v areálu vyrábějí.</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4.</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Do areálu není povolen vstup osobám se zvířetem nebo přeprava zvířete v dopravním prostředku.</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5.</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V  areálu  platí   přísný zákaz  kouření,  včetně  kabin dopravních prostředků. Kouření je  dovoleno na  vyhrazených  místech označených evidovanou tabulkou "</w:t>
      </w:r>
      <w:r w:rsidRPr="00056506">
        <w:rPr>
          <w:rFonts w:asciiTheme="minorHAnsi" w:eastAsia="Times New Roman" w:hAnsiTheme="minorHAnsi" w:cstheme="minorHAnsi"/>
          <w:caps/>
          <w:sz w:val="20"/>
          <w:szCs w:val="20"/>
          <w:lang w:eastAsia="cs-CZ"/>
        </w:rPr>
        <w:t>Kouření povoleno</w:t>
      </w:r>
      <w:r w:rsidRPr="00056506">
        <w:rPr>
          <w:rFonts w:asciiTheme="minorHAnsi" w:eastAsia="Times New Roman" w:hAnsiTheme="minorHAnsi" w:cstheme="minorHAnsi"/>
          <w:sz w:val="20"/>
          <w:szCs w:val="20"/>
          <w:lang w:eastAsia="cs-CZ"/>
        </w:rPr>
        <w:t xml:space="preserve">". </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6.</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Fotografovat a filmovat v areálu lze pouze se souhlasem správce objektu.</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7.</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Požívat  alkoholické  nápoje  nebo   jiné  návykové  látky  na pracovištích   a v pracovní  době i mimo  tato pracoviště, donášet je anebo pod jejich vlivem vstupovat  do areálu  je zakázáno. Všechny osoby, které vstupují  do  areálu nebo se v areálu zdržují,  jsou povinni se  na vyzvání podrobit zkoušce,  zda nejsou pod vlivem alkoholu.</w:t>
      </w:r>
    </w:p>
    <w:p w:rsidR="00056506" w:rsidRPr="00056506" w:rsidRDefault="00056506" w:rsidP="00025E32">
      <w:pPr>
        <w:tabs>
          <w:tab w:val="left" w:pos="567"/>
        </w:tabs>
        <w:spacing w:before="24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8.</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Při  chůzi  v areálu  používejte  chodníky,  nebo levé krajnice vozovky, dbejte  příkazů a značek.  Zvýšenou pozornost věnujte místům,  kde  jsou  prováděny  výkopové  práce  a  místům  pod potrubními  mosty,  kde  v  případě  havárie  hrozí  nebezpečí potřísnění pokožky nebo oděvu chemickou látkou. Při pohybu po vnitřních komunikacích, obslužných komunikacích dodržovat zvýšenou pozornost, neboť vlivem zpracovávaných surovin mohou být na některých místech podlahy mokré nebo mastné. Chůze  v  kolejišti  i  podél  kolejí  je  zakázána.</w:t>
      </w:r>
      <w:r w:rsidR="00AE1CE9">
        <w:rPr>
          <w:rFonts w:asciiTheme="minorHAnsi" w:eastAsia="Times New Roman" w:hAnsiTheme="minorHAnsi" w:cstheme="minorHAnsi"/>
          <w:sz w:val="20"/>
          <w:szCs w:val="20"/>
          <w:lang w:eastAsia="cs-CZ"/>
        </w:rPr>
        <w:t xml:space="preserve"> </w:t>
      </w:r>
      <w:r w:rsidRPr="00056506">
        <w:rPr>
          <w:rFonts w:asciiTheme="minorHAnsi" w:eastAsia="Times New Roman" w:hAnsiTheme="minorHAnsi" w:cstheme="minorHAnsi"/>
          <w:sz w:val="20"/>
          <w:szCs w:val="20"/>
          <w:lang w:eastAsia="cs-CZ"/>
        </w:rPr>
        <w:t xml:space="preserve">Přecházet kolejiště  je  povoleno  jen   na  přejezdech  nebo  zřízených přechodech. Přelézání železničních vagónů a chůze mezi rozpojenými železničními vagóny je zakázána. </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ab/>
      </w:r>
      <w:r w:rsidRPr="00056506">
        <w:rPr>
          <w:rFonts w:asciiTheme="minorHAnsi" w:eastAsia="Times New Roman" w:hAnsiTheme="minorHAnsi" w:cstheme="minorHAnsi"/>
          <w:sz w:val="20"/>
          <w:szCs w:val="20"/>
          <w:lang w:eastAsia="cs-CZ"/>
        </w:rPr>
        <w:t xml:space="preserve">Maximální povolená rychlost v areálu:  </w:t>
      </w:r>
      <w:r w:rsidRPr="00056506">
        <w:rPr>
          <w:rFonts w:asciiTheme="minorHAnsi" w:eastAsia="Times New Roman" w:hAnsiTheme="minorHAnsi" w:cstheme="minorHAnsi"/>
          <w:b/>
          <w:bCs/>
          <w:sz w:val="20"/>
          <w:szCs w:val="20"/>
          <w:lang w:eastAsia="cs-CZ"/>
        </w:rPr>
        <w:t> 30 km/h</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ab/>
      </w:r>
      <w:r w:rsidRPr="00056506">
        <w:rPr>
          <w:rFonts w:asciiTheme="minorHAnsi" w:eastAsia="Times New Roman" w:hAnsiTheme="minorHAnsi" w:cstheme="minorHAnsi"/>
          <w:sz w:val="20"/>
          <w:szCs w:val="20"/>
          <w:lang w:eastAsia="cs-CZ"/>
        </w:rPr>
        <w:t>Je zakázáno stát na všech silničních komunikacích uvnitř areálu závodu mimo vyhrazená místa.</w:t>
      </w:r>
    </w:p>
    <w:p w:rsidR="00056506" w:rsidRPr="00056506" w:rsidRDefault="00056506" w:rsidP="004E3D9A">
      <w:pPr>
        <w:tabs>
          <w:tab w:val="left" w:pos="567"/>
        </w:tabs>
        <w:spacing w:before="160" w:after="0" w:line="240" w:lineRule="exact"/>
        <w:ind w:left="567" w:hanging="567"/>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9.</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Pohybujte se pouze na pracovištích a v prostorech určených pro Váš výkon práce. Je přísně zakázáno se pohybovat v ostatních prostorech, objektech a provozech, ve kterých neplníte žádné pracovní úkoly a kde jste nebyli seznámeni s riziky možného ohrožení bezpečnosti a zdraví.</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10.      Při poškození oděvu (postříkání, znečištění apod.) oznamte příhodu navštívenému (návštěva), popř. svému zaměstnavateli.</w:t>
      </w:r>
    </w:p>
    <w:p w:rsidR="00056506" w:rsidRDefault="00056506" w:rsidP="00E56AD9">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11.     </w:t>
      </w:r>
      <w:r>
        <w:rPr>
          <w:rFonts w:asciiTheme="minorHAnsi" w:eastAsia="Times New Roman" w:hAnsiTheme="minorHAnsi" w:cstheme="minorHAnsi"/>
          <w:sz w:val="20"/>
          <w:szCs w:val="20"/>
          <w:lang w:eastAsia="cs-CZ"/>
        </w:rPr>
        <w:tab/>
      </w:r>
      <w:r w:rsidRPr="00056506">
        <w:rPr>
          <w:rFonts w:asciiTheme="minorHAnsi" w:eastAsia="Times New Roman" w:hAnsiTheme="minorHAnsi" w:cstheme="minorHAnsi"/>
          <w:sz w:val="20"/>
          <w:szCs w:val="20"/>
          <w:lang w:eastAsia="cs-CZ"/>
        </w:rPr>
        <w:t>V</w:t>
      </w:r>
      <w:r>
        <w:rPr>
          <w:rFonts w:asciiTheme="minorHAnsi" w:eastAsia="Times New Roman" w:hAnsiTheme="minorHAnsi" w:cstheme="minorHAnsi"/>
          <w:sz w:val="20"/>
          <w:szCs w:val="20"/>
          <w:lang w:eastAsia="cs-CZ"/>
        </w:rPr>
        <w:t> </w:t>
      </w:r>
      <w:r w:rsidRPr="00056506">
        <w:rPr>
          <w:rFonts w:asciiTheme="minorHAnsi" w:eastAsia="Times New Roman" w:hAnsiTheme="minorHAnsi" w:cstheme="minorHAnsi"/>
          <w:sz w:val="20"/>
          <w:szCs w:val="20"/>
          <w:lang w:eastAsia="cs-CZ"/>
        </w:rPr>
        <w:t>areálu</w:t>
      </w:r>
      <w:r>
        <w:rPr>
          <w:rFonts w:asciiTheme="minorHAnsi" w:eastAsia="Times New Roman" w:hAnsiTheme="minorHAnsi" w:cstheme="minorHAnsi"/>
          <w:sz w:val="20"/>
          <w:szCs w:val="20"/>
          <w:lang w:eastAsia="cs-CZ"/>
        </w:rPr>
        <w:t xml:space="preserve"> </w:t>
      </w:r>
      <w:r w:rsidRPr="00056506">
        <w:rPr>
          <w:rFonts w:asciiTheme="minorHAnsi" w:eastAsia="Times New Roman" w:hAnsiTheme="minorHAnsi" w:cstheme="minorHAnsi"/>
          <w:sz w:val="20"/>
          <w:szCs w:val="20"/>
          <w:lang w:eastAsia="cs-CZ"/>
        </w:rPr>
        <w:t>jsou</w:t>
      </w:r>
      <w:r>
        <w:rPr>
          <w:rFonts w:asciiTheme="minorHAnsi" w:eastAsia="Times New Roman" w:hAnsiTheme="minorHAnsi" w:cstheme="minorHAnsi"/>
          <w:sz w:val="20"/>
          <w:szCs w:val="20"/>
          <w:lang w:eastAsia="cs-CZ"/>
        </w:rPr>
        <w:t xml:space="preserve"> </w:t>
      </w:r>
      <w:r w:rsidRPr="00056506">
        <w:rPr>
          <w:rFonts w:asciiTheme="minorHAnsi" w:eastAsia="Times New Roman" w:hAnsiTheme="minorHAnsi" w:cstheme="minorHAnsi"/>
          <w:sz w:val="20"/>
          <w:szCs w:val="20"/>
          <w:lang w:eastAsia="cs-CZ"/>
        </w:rPr>
        <w:t>ve výrobním procesu používány  látky, které moho</w:t>
      </w:r>
      <w:r w:rsidR="004E3D9A">
        <w:rPr>
          <w:rFonts w:asciiTheme="minorHAnsi" w:eastAsia="Times New Roman" w:hAnsiTheme="minorHAnsi" w:cstheme="minorHAnsi"/>
          <w:sz w:val="20"/>
          <w:szCs w:val="20"/>
          <w:lang w:eastAsia="cs-CZ"/>
        </w:rPr>
        <w:t xml:space="preserve">u </w:t>
      </w:r>
      <w:r>
        <w:rPr>
          <w:rFonts w:asciiTheme="minorHAnsi" w:eastAsia="Times New Roman" w:hAnsiTheme="minorHAnsi" w:cstheme="minorHAnsi"/>
          <w:sz w:val="20"/>
          <w:szCs w:val="20"/>
          <w:lang w:eastAsia="cs-CZ"/>
        </w:rPr>
        <w:t>p</w:t>
      </w:r>
      <w:r w:rsidRPr="00056506">
        <w:rPr>
          <w:rFonts w:asciiTheme="minorHAnsi" w:eastAsia="Times New Roman" w:hAnsiTheme="minorHAnsi" w:cstheme="minorHAnsi"/>
          <w:sz w:val="20"/>
          <w:szCs w:val="20"/>
          <w:lang w:eastAsia="cs-CZ"/>
        </w:rPr>
        <w:t xml:space="preserve">ři  poruše  nebo  havárii  technologického  zařízení a jejich následném   úniku  ohrozit   nejen  pracovníky   provozu,  ale i ostatní osoby v areálu. Jedná se zejména o chlor, propylen a čpavek.  </w:t>
      </w:r>
    </w:p>
    <w:p w:rsid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p>
    <w:p w:rsid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p>
    <w:p w:rsid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p>
    <w:p w:rsidR="00025E32"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lastRenderedPageBreak/>
        <w:tab/>
      </w:r>
    </w:p>
    <w:p w:rsidR="00056506" w:rsidRPr="00E56AD9" w:rsidRDefault="00025E32" w:rsidP="00056506">
      <w:pPr>
        <w:tabs>
          <w:tab w:val="left" w:pos="567"/>
        </w:tabs>
        <w:spacing w:before="160" w:after="0" w:line="240" w:lineRule="exact"/>
        <w:ind w:left="567" w:hanging="567"/>
        <w:jc w:val="both"/>
        <w:rPr>
          <w:rFonts w:asciiTheme="minorHAnsi" w:eastAsia="Times New Roman" w:hAnsiTheme="minorHAnsi" w:cstheme="minorHAnsi"/>
          <w:b/>
          <w:sz w:val="20"/>
          <w:szCs w:val="20"/>
          <w:lang w:eastAsia="cs-CZ"/>
        </w:rPr>
      </w:pPr>
      <w:r w:rsidRPr="00E56AD9">
        <w:rPr>
          <w:rFonts w:asciiTheme="minorHAnsi" w:eastAsia="Times New Roman" w:hAnsiTheme="minorHAnsi" w:cstheme="minorHAnsi"/>
          <w:b/>
          <w:sz w:val="20"/>
          <w:szCs w:val="20"/>
          <w:lang w:eastAsia="cs-CZ"/>
        </w:rPr>
        <w:tab/>
      </w:r>
      <w:r w:rsidR="00056506" w:rsidRPr="00E56AD9">
        <w:rPr>
          <w:rFonts w:asciiTheme="minorHAnsi" w:eastAsia="Times New Roman" w:hAnsiTheme="minorHAnsi" w:cstheme="minorHAnsi"/>
          <w:b/>
          <w:sz w:val="20"/>
          <w:szCs w:val="20"/>
          <w:lang w:eastAsia="cs-CZ"/>
        </w:rPr>
        <w:t>Vyhlášení poplachu při úniku těchto látek se provádí následovně:</w:t>
      </w:r>
    </w:p>
    <w:p w:rsidR="00025E32" w:rsidRDefault="00025E32" w:rsidP="00056506">
      <w:pPr>
        <w:tabs>
          <w:tab w:val="left" w:pos="1134"/>
        </w:tabs>
        <w:spacing w:after="0" w:line="240" w:lineRule="auto"/>
        <w:ind w:left="1134" w:hanging="567"/>
        <w:jc w:val="both"/>
        <w:rPr>
          <w:rFonts w:asciiTheme="minorHAnsi" w:eastAsia="Times New Roman" w:hAnsiTheme="minorHAnsi" w:cstheme="minorHAnsi"/>
          <w:sz w:val="20"/>
          <w:szCs w:val="20"/>
          <w:lang w:eastAsia="cs-CZ"/>
        </w:rPr>
      </w:pPr>
    </w:p>
    <w:p w:rsidR="00056506" w:rsidRPr="00056506" w:rsidRDefault="00056506" w:rsidP="00056506">
      <w:pPr>
        <w:tabs>
          <w:tab w:val="left" w:pos="1134"/>
        </w:tabs>
        <w:spacing w:after="0" w:line="240" w:lineRule="auto"/>
        <w:ind w:left="1134"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w:t>
      </w:r>
      <w:r w:rsidRPr="00056506">
        <w:rPr>
          <w:rFonts w:asciiTheme="minorHAnsi" w:eastAsia="Times New Roman" w:hAnsiTheme="minorHAnsi" w:cstheme="minorHAnsi"/>
          <w:sz w:val="14"/>
          <w:szCs w:val="14"/>
          <w:lang w:eastAsia="cs-CZ"/>
        </w:rPr>
        <w:t>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sirénou signálem VÝSTRAHA (kolísavý  tón  po  dobu  140-ti  vteřin)  a současnou relací v závodním  rozhlasu (pokud tón nekolísá, jedná se o zkoušku poplachových sirén)</w:t>
      </w:r>
    </w:p>
    <w:p w:rsidR="00056506" w:rsidRDefault="00056506" w:rsidP="00056506">
      <w:pPr>
        <w:tabs>
          <w:tab w:val="left" w:pos="1134"/>
        </w:tabs>
        <w:spacing w:before="160" w:after="0" w:line="240" w:lineRule="exact"/>
        <w:ind w:left="1134"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w:t>
      </w:r>
      <w:r w:rsidRPr="00056506">
        <w:rPr>
          <w:rFonts w:asciiTheme="minorHAnsi" w:eastAsia="Times New Roman" w:hAnsiTheme="minorHAnsi" w:cstheme="minorHAnsi"/>
          <w:sz w:val="14"/>
          <w:szCs w:val="14"/>
          <w:lang w:eastAsia="cs-CZ"/>
        </w:rPr>
        <w:t xml:space="preserve">          </w:t>
      </w:r>
      <w:r>
        <w:rPr>
          <w:rFonts w:asciiTheme="minorHAnsi" w:eastAsia="Times New Roman" w:hAnsiTheme="minorHAnsi" w:cstheme="minorHAnsi"/>
          <w:sz w:val="14"/>
          <w:szCs w:val="14"/>
          <w:lang w:eastAsia="cs-CZ"/>
        </w:rPr>
        <w:tab/>
      </w:r>
      <w:r w:rsidRPr="00056506">
        <w:rPr>
          <w:rFonts w:asciiTheme="minorHAnsi" w:eastAsia="Times New Roman" w:hAnsiTheme="minorHAnsi" w:cstheme="minorHAnsi"/>
          <w:sz w:val="20"/>
          <w:szCs w:val="20"/>
          <w:lang w:eastAsia="cs-CZ"/>
        </w:rPr>
        <w:t>výstražným systémem  (tabule, akustická a světelná signalizace v zónách možného úniku nebezpečných látek)</w:t>
      </w:r>
    </w:p>
    <w:p w:rsid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p>
    <w:p w:rsidR="00056506" w:rsidRDefault="00056506" w:rsidP="00042545">
      <w:pPr>
        <w:spacing w:before="120" w:after="0" w:line="240" w:lineRule="auto"/>
        <w:ind w:left="567"/>
        <w:jc w:val="both"/>
        <w:rPr>
          <w:rFonts w:asciiTheme="minorHAnsi" w:eastAsia="Times New Roman" w:hAnsiTheme="minorHAnsi" w:cstheme="minorHAnsi"/>
          <w:b/>
          <w:bCs/>
          <w:sz w:val="20"/>
          <w:szCs w:val="20"/>
          <w:lang w:eastAsia="cs-CZ"/>
        </w:rPr>
      </w:pPr>
      <w:r w:rsidRPr="00056506">
        <w:rPr>
          <w:rFonts w:asciiTheme="minorHAnsi" w:eastAsia="Times New Roman" w:hAnsiTheme="minorHAnsi" w:cstheme="minorHAnsi"/>
          <w:b/>
          <w:bCs/>
          <w:sz w:val="20"/>
          <w:szCs w:val="20"/>
          <w:lang w:eastAsia="cs-CZ"/>
        </w:rPr>
        <w:t xml:space="preserve">Při úniku těchto látek a vyhlášení poplachu opusťte zamořenou zónu, řiďte se pokyny velitele zásahu </w:t>
      </w:r>
      <w:r w:rsidR="00042545">
        <w:rPr>
          <w:rFonts w:asciiTheme="minorHAnsi" w:eastAsia="Times New Roman" w:hAnsiTheme="minorHAnsi" w:cstheme="minorHAnsi"/>
          <w:b/>
          <w:bCs/>
          <w:sz w:val="20"/>
          <w:szCs w:val="20"/>
          <w:lang w:eastAsia="cs-CZ"/>
        </w:rPr>
        <w:br/>
      </w:r>
      <w:r w:rsidRPr="00056506">
        <w:rPr>
          <w:rFonts w:asciiTheme="minorHAnsi" w:eastAsia="Times New Roman" w:hAnsiTheme="minorHAnsi" w:cstheme="minorHAnsi"/>
          <w:b/>
          <w:bCs/>
          <w:sz w:val="20"/>
          <w:szCs w:val="20"/>
          <w:lang w:eastAsia="cs-CZ"/>
        </w:rPr>
        <w:t xml:space="preserve">a ostrahy. </w:t>
      </w:r>
    </w:p>
    <w:p w:rsidR="00056506" w:rsidRDefault="00056506" w:rsidP="00056506">
      <w:pPr>
        <w:spacing w:before="120" w:after="0" w:line="240" w:lineRule="auto"/>
        <w:ind w:left="357"/>
        <w:jc w:val="both"/>
        <w:rPr>
          <w:rFonts w:asciiTheme="minorHAnsi" w:eastAsia="Times New Roman" w:hAnsiTheme="minorHAnsi" w:cstheme="minorHAnsi"/>
          <w:b/>
          <w:bCs/>
          <w:sz w:val="20"/>
          <w:szCs w:val="20"/>
          <w:lang w:eastAsia="cs-CZ"/>
        </w:rPr>
      </w:pP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xml:space="preserve">12.      Vstoupit do provozů lze pouze po ohlášení u odpovědného pracovníka. </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13.      Vzhledem k charakteru výroby  nesmí být některé práce zahájeny bez vystavení příslušného povolení.  Seznam prací, které mohou být zahájeny až po vystavení povolení, je obsažen v bezpečnostních předpisech jednotlivých útvarů.</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14.      Přístroje, nářadí, vzorky apod., které vnášíte do areálu, nahlaste při vstupu zaměstnanci bezpečnostní agentury zajišťující ostrahu na vrátnicích.</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15.      Je zakázáno používat elektrospotřebiče v objektech, kde je stanoveno prostředí s nebezpečím výbuchu. Máte-li u sebe mobilní telefon, oznamte tuto skutečnost doprovodu, resp. vedoucímu navštíveného provozu.</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16.      Jakýkoliv  pracovní úraz,  to znamená  i pracovní  úraz, jimž nebyla  způsobena  pracovní  neschopnost,  nebo byla způsobena pracovní  neschopnost nepřesahující  tři kalendářní  dny, jste  povinen neprodleně ohlásit:</w:t>
      </w:r>
    </w:p>
    <w:p w:rsidR="00056506" w:rsidRPr="00056506" w:rsidRDefault="00056506" w:rsidP="00056506">
      <w:pPr>
        <w:tabs>
          <w:tab w:val="left" w:pos="1134"/>
        </w:tabs>
        <w:spacing w:after="0" w:line="240" w:lineRule="exact"/>
        <w:ind w:left="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odpovědnému vedoucímu zaměstnanci,</w:t>
      </w:r>
    </w:p>
    <w:p w:rsidR="00056506" w:rsidRPr="00056506" w:rsidRDefault="00056506" w:rsidP="00056506">
      <w:pPr>
        <w:tabs>
          <w:tab w:val="left" w:pos="1134"/>
        </w:tabs>
        <w:spacing w:after="0" w:line="240" w:lineRule="exact"/>
        <w:ind w:left="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vedoucímu pracovníkovi útvaru, pro který vykonáváte pracovní činnost na základě uzavřené smlouvy.</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17.      První  pomoc -  ošetření je  možno provést  na pracovišti, kde jsou umístěny lékárničky (popř. vyhledat ošetření u lékaře pracovně-lékařské péče).</w:t>
      </w:r>
    </w:p>
    <w:p w:rsidR="00056506" w:rsidRPr="00056506" w:rsidRDefault="00056506" w:rsidP="00056506">
      <w:pPr>
        <w:tabs>
          <w:tab w:val="left" w:pos="567"/>
        </w:tabs>
        <w:spacing w:before="160" w:after="0" w:line="240" w:lineRule="exact"/>
        <w:ind w:left="567" w:hanging="567"/>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18.      V případě ohrožení života následkem úrazu nebo havárie, při požáru a vždy, kdy je nutná pomoc záchranných útvarů volejte z vnitřní telefonní linky na čísla:</w:t>
      </w:r>
    </w:p>
    <w:p w:rsidR="00056506" w:rsidRDefault="00056506" w:rsidP="00056506">
      <w:pPr>
        <w:spacing w:before="120" w:after="0" w:line="240" w:lineRule="auto"/>
        <w:ind w:left="357"/>
        <w:jc w:val="both"/>
        <w:rPr>
          <w:rFonts w:asciiTheme="minorHAnsi" w:eastAsia="Times New Roman" w:hAnsiTheme="minorHAnsi" w:cstheme="minorHAnsi"/>
          <w:b/>
          <w:bCs/>
          <w:sz w:val="20"/>
          <w:szCs w:val="20"/>
          <w:lang w:eastAsia="cs-CZ"/>
        </w:rPr>
      </w:pPr>
    </w:p>
    <w:p w:rsidR="00056506" w:rsidRPr="00056506" w:rsidRDefault="00056506" w:rsidP="00056506">
      <w:pPr>
        <w:spacing w:before="120" w:after="0" w:line="240" w:lineRule="auto"/>
        <w:ind w:left="426" w:hanging="426"/>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 xml:space="preserve"> </w:t>
      </w:r>
    </w:p>
    <w:tbl>
      <w:tblPr>
        <w:tblW w:w="0" w:type="auto"/>
        <w:tblInd w:w="357" w:type="dxa"/>
        <w:tblCellMar>
          <w:left w:w="0" w:type="dxa"/>
          <w:right w:w="0" w:type="dxa"/>
        </w:tblCellMar>
        <w:tblLook w:val="04A0" w:firstRow="1" w:lastRow="0" w:firstColumn="1" w:lastColumn="0" w:noHBand="0" w:noVBand="1"/>
      </w:tblPr>
      <w:tblGrid>
        <w:gridCol w:w="5108"/>
        <w:gridCol w:w="4033"/>
      </w:tblGrid>
      <w:tr w:rsidR="00056506" w:rsidRPr="00056506" w:rsidTr="009F2EC3">
        <w:tc>
          <w:tcPr>
            <w:tcW w:w="5165"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POŽÁR (IZD + HZSP)</w:t>
            </w:r>
          </w:p>
        </w:tc>
        <w:tc>
          <w:tcPr>
            <w:tcW w:w="4084"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150</w:t>
            </w:r>
          </w:p>
        </w:tc>
      </w:tr>
      <w:tr w:rsidR="00056506" w:rsidRPr="00056506" w:rsidTr="009F2EC3">
        <w:tc>
          <w:tcPr>
            <w:tcW w:w="5165"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INTEGROVANÝ ZÁCHRANNÝ DISPEČINK (IZD)</w:t>
            </w:r>
          </w:p>
        </w:tc>
        <w:tc>
          <w:tcPr>
            <w:tcW w:w="4084"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152, 154</w:t>
            </w:r>
          </w:p>
        </w:tc>
      </w:tr>
      <w:tr w:rsidR="00056506" w:rsidRPr="00056506" w:rsidTr="009F2EC3">
        <w:tc>
          <w:tcPr>
            <w:tcW w:w="5165"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 xml:space="preserve">IZD + ZÁCHRANNÁ SLUŽBA     </w:t>
            </w:r>
          </w:p>
        </w:tc>
        <w:tc>
          <w:tcPr>
            <w:tcW w:w="4084"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155</w:t>
            </w:r>
          </w:p>
        </w:tc>
      </w:tr>
      <w:tr w:rsidR="00056506" w:rsidRPr="00056506" w:rsidTr="009F2EC3">
        <w:tc>
          <w:tcPr>
            <w:tcW w:w="5165"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 xml:space="preserve">OSTRAHA ZÁVODU     </w:t>
            </w:r>
          </w:p>
        </w:tc>
        <w:tc>
          <w:tcPr>
            <w:tcW w:w="4084"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158</w:t>
            </w:r>
          </w:p>
        </w:tc>
      </w:tr>
      <w:tr w:rsidR="00056506" w:rsidRPr="00056506" w:rsidTr="009F2EC3">
        <w:tc>
          <w:tcPr>
            <w:tcW w:w="5165"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 xml:space="preserve">Pokud použijete mobilní telefon, volejte na čísla:       </w:t>
            </w:r>
          </w:p>
        </w:tc>
        <w:tc>
          <w:tcPr>
            <w:tcW w:w="4084" w:type="dxa"/>
            <w:tcMar>
              <w:top w:w="0" w:type="dxa"/>
              <w:left w:w="108" w:type="dxa"/>
              <w:bottom w:w="0" w:type="dxa"/>
              <w:right w:w="108" w:type="dxa"/>
            </w:tcMar>
            <w:hideMark/>
          </w:tcPr>
          <w:p w:rsidR="00056506" w:rsidRPr="00056506" w:rsidRDefault="00056506" w:rsidP="00056506">
            <w:pPr>
              <w:spacing w:before="120"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721 725 193, 721 725 198.</w:t>
            </w:r>
          </w:p>
        </w:tc>
      </w:tr>
    </w:tbl>
    <w:p w:rsidR="00056506" w:rsidRPr="00056506" w:rsidRDefault="00056506" w:rsidP="00056506">
      <w:pPr>
        <w:spacing w:before="120" w:after="0" w:line="240" w:lineRule="auto"/>
        <w:ind w:left="360"/>
        <w:jc w:val="both"/>
        <w:rPr>
          <w:rFonts w:asciiTheme="minorHAnsi" w:eastAsia="Times New Roman" w:hAnsiTheme="minorHAnsi" w:cstheme="minorHAnsi"/>
          <w:sz w:val="20"/>
          <w:szCs w:val="20"/>
          <w:lang w:eastAsia="cs-CZ"/>
        </w:rPr>
      </w:pPr>
      <w:r w:rsidRPr="00056506">
        <w:rPr>
          <w:rFonts w:asciiTheme="minorHAnsi" w:eastAsia="Times New Roman" w:hAnsiTheme="minorHAnsi" w:cstheme="minorHAnsi"/>
          <w:b/>
          <w:bCs/>
          <w:sz w:val="20"/>
          <w:szCs w:val="20"/>
          <w:lang w:eastAsia="cs-CZ"/>
        </w:rPr>
        <w:t xml:space="preserve">                  </w:t>
      </w:r>
    </w:p>
    <w:p w:rsidR="00056506" w:rsidRPr="00056506" w:rsidRDefault="00056506" w:rsidP="00056506">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w:t>
      </w:r>
    </w:p>
    <w:p w:rsidR="00056506" w:rsidRPr="00056506" w:rsidRDefault="00056506" w:rsidP="00056506">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w:t>
      </w:r>
    </w:p>
    <w:p w:rsidR="00056506" w:rsidRPr="00E56AD9" w:rsidRDefault="00056506" w:rsidP="00056506">
      <w:pPr>
        <w:spacing w:after="0" w:line="240" w:lineRule="auto"/>
        <w:rPr>
          <w:rFonts w:asciiTheme="minorHAnsi" w:eastAsia="Times New Roman" w:hAnsiTheme="minorHAnsi" w:cstheme="minorHAnsi"/>
          <w:b/>
          <w:sz w:val="20"/>
          <w:szCs w:val="20"/>
          <w:lang w:eastAsia="cs-CZ"/>
        </w:rPr>
      </w:pPr>
      <w:bookmarkStart w:id="0" w:name="_GoBack"/>
      <w:r w:rsidRPr="00E56AD9">
        <w:rPr>
          <w:rFonts w:asciiTheme="minorHAnsi" w:eastAsia="Times New Roman" w:hAnsiTheme="minorHAnsi" w:cstheme="minorHAnsi"/>
          <w:b/>
          <w:sz w:val="20"/>
          <w:szCs w:val="20"/>
          <w:lang w:eastAsia="cs-CZ"/>
        </w:rPr>
        <w:t>Zpracováno podle  stavu v právních a  ostatních předpisů ke dni 1. 3. 2015</w:t>
      </w:r>
    </w:p>
    <w:bookmarkEnd w:id="0"/>
    <w:p w:rsidR="00056506" w:rsidRPr="00056506" w:rsidRDefault="00056506" w:rsidP="00056506">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w:t>
      </w:r>
    </w:p>
    <w:p w:rsidR="00056506" w:rsidRPr="00056506" w:rsidRDefault="00056506" w:rsidP="00056506">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w:t>
      </w:r>
    </w:p>
    <w:p w:rsidR="00056506" w:rsidRPr="00056506" w:rsidRDefault="00056506" w:rsidP="00056506">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w:t>
      </w:r>
    </w:p>
    <w:p w:rsidR="00056506" w:rsidRPr="00056506" w:rsidRDefault="00056506" w:rsidP="00056506">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  </w:t>
      </w:r>
    </w:p>
    <w:p w:rsidR="005E2DBC" w:rsidRPr="00042545" w:rsidRDefault="00056506" w:rsidP="00042545">
      <w:pPr>
        <w:spacing w:after="0" w:line="240" w:lineRule="auto"/>
        <w:rPr>
          <w:rFonts w:asciiTheme="minorHAnsi" w:eastAsia="Times New Roman" w:hAnsiTheme="minorHAnsi" w:cstheme="minorHAnsi"/>
          <w:sz w:val="20"/>
          <w:szCs w:val="20"/>
          <w:lang w:eastAsia="cs-CZ"/>
        </w:rPr>
      </w:pPr>
      <w:r w:rsidRPr="00056506">
        <w:rPr>
          <w:rFonts w:asciiTheme="minorHAnsi" w:eastAsia="Times New Roman" w:hAnsiTheme="minorHAnsi" w:cstheme="minorHAnsi"/>
          <w:sz w:val="20"/>
          <w:szCs w:val="20"/>
          <w:lang w:eastAsia="cs-CZ"/>
        </w:rPr>
        <w:t>PS 650/P1</w:t>
      </w:r>
    </w:p>
    <w:sectPr w:rsidR="005E2DBC" w:rsidRPr="00042545" w:rsidSect="001F2243">
      <w:headerReference w:type="even" r:id="rId8"/>
      <w:headerReference w:type="default" r:id="rId9"/>
      <w:footerReference w:type="even" r:id="rId10"/>
      <w:footerReference w:type="default" r:id="rId11"/>
      <w:headerReference w:type="first" r:id="rId12"/>
      <w:footerReference w:type="first" r:id="rId13"/>
      <w:pgSz w:w="11906" w:h="16838"/>
      <w:pgMar w:top="1702" w:right="991"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02" w:rsidRDefault="00841402" w:rsidP="00663C8D">
      <w:pPr>
        <w:spacing w:line="240" w:lineRule="auto"/>
      </w:pPr>
      <w:r>
        <w:separator/>
      </w:r>
    </w:p>
  </w:endnote>
  <w:endnote w:type="continuationSeparator" w:id="0">
    <w:p w:rsidR="00841402" w:rsidRDefault="00841402" w:rsidP="00663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A0" w:rsidRDefault="00DA7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BC" w:rsidRPr="005E2DBC" w:rsidRDefault="004847DC" w:rsidP="005E2DBC">
    <w:pPr>
      <w:pStyle w:val="Zpat"/>
      <w:tabs>
        <w:tab w:val="clear" w:pos="9072"/>
        <w:tab w:val="right" w:pos="9356"/>
      </w:tabs>
      <w:jc w:val="right"/>
    </w:pPr>
    <w:r>
      <w:rPr>
        <w:noProof/>
        <w:lang w:eastAsia="cs-CZ"/>
      </w:rPr>
      <w:drawing>
        <wp:anchor distT="0" distB="0" distL="114300" distR="114300" simplePos="0" relativeHeight="251657728" behindDoc="0" locked="0" layoutInCell="1" allowOverlap="1">
          <wp:simplePos x="0" y="0"/>
          <wp:positionH relativeFrom="column">
            <wp:posOffset>-899160</wp:posOffset>
          </wp:positionH>
          <wp:positionV relativeFrom="paragraph">
            <wp:posOffset>309880</wp:posOffset>
          </wp:positionV>
          <wp:extent cx="7555230" cy="68453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DBC" w:rsidRPr="005E2DBC">
      <w:rPr>
        <w:bCs/>
      </w:rPr>
      <w:fldChar w:fldCharType="begin"/>
    </w:r>
    <w:r w:rsidR="005E2DBC" w:rsidRPr="005E2DBC">
      <w:rPr>
        <w:bCs/>
      </w:rPr>
      <w:instrText>PAGE</w:instrText>
    </w:r>
    <w:r w:rsidR="005E2DBC" w:rsidRPr="005E2DBC">
      <w:rPr>
        <w:bCs/>
      </w:rPr>
      <w:fldChar w:fldCharType="separate"/>
    </w:r>
    <w:r w:rsidR="00E56AD9">
      <w:rPr>
        <w:bCs/>
        <w:noProof/>
      </w:rPr>
      <w:t>1</w:t>
    </w:r>
    <w:r w:rsidR="005E2DBC" w:rsidRPr="005E2DBC">
      <w:rPr>
        <w:bCs/>
      </w:rPr>
      <w:fldChar w:fldCharType="end"/>
    </w:r>
    <w:r w:rsidR="005E2DBC" w:rsidRPr="005E2DBC">
      <w:t xml:space="preserve"> │ </w:t>
    </w:r>
    <w:r w:rsidR="005E2DBC" w:rsidRPr="005E2DBC">
      <w:rPr>
        <w:bCs/>
      </w:rPr>
      <w:fldChar w:fldCharType="begin"/>
    </w:r>
    <w:r w:rsidR="005E2DBC" w:rsidRPr="005E2DBC">
      <w:rPr>
        <w:bCs/>
      </w:rPr>
      <w:instrText>NUMPAGES</w:instrText>
    </w:r>
    <w:r w:rsidR="005E2DBC" w:rsidRPr="005E2DBC">
      <w:rPr>
        <w:bCs/>
      </w:rPr>
      <w:fldChar w:fldCharType="separate"/>
    </w:r>
    <w:r w:rsidR="00E56AD9">
      <w:rPr>
        <w:bCs/>
        <w:noProof/>
      </w:rPr>
      <w:t>2</w:t>
    </w:r>
    <w:r w:rsidR="005E2DBC" w:rsidRPr="005E2DBC">
      <w:rPr>
        <w:bCs/>
      </w:rPr>
      <w:fldChar w:fldCharType="end"/>
    </w:r>
  </w:p>
  <w:p w:rsidR="00663C8D" w:rsidRDefault="00663C8D" w:rsidP="00486250">
    <w:pPr>
      <w:pStyle w:val="Zpat"/>
      <w:ind w:right="-14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A0" w:rsidRDefault="00DA7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02" w:rsidRDefault="00841402" w:rsidP="00663C8D">
      <w:pPr>
        <w:spacing w:line="240" w:lineRule="auto"/>
      </w:pPr>
      <w:r>
        <w:separator/>
      </w:r>
    </w:p>
  </w:footnote>
  <w:footnote w:type="continuationSeparator" w:id="0">
    <w:p w:rsidR="00841402" w:rsidRDefault="00841402" w:rsidP="00663C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A0" w:rsidRDefault="00DA7C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DA" w:rsidRDefault="004847DC" w:rsidP="002A03DA">
    <w:pPr>
      <w:pStyle w:val="Zhlav"/>
      <w:tabs>
        <w:tab w:val="clear" w:pos="9072"/>
      </w:tabs>
      <w:ind w:right="-142"/>
    </w:pPr>
    <w:r>
      <w:rPr>
        <w:noProof/>
        <w:lang w:eastAsia="cs-CZ"/>
      </w:rPr>
      <w:drawing>
        <wp:inline distT="0" distB="0" distL="0" distR="0">
          <wp:extent cx="2387600" cy="347345"/>
          <wp:effectExtent l="0" t="0" r="0" b="0"/>
          <wp:docPr id="17" name="obrázek 13" descr="Logo%20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20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3473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A0" w:rsidRDefault="00DA7C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16BA"/>
    <w:multiLevelType w:val="hybridMultilevel"/>
    <w:tmpl w:val="F53A6398"/>
    <w:lvl w:ilvl="0" w:tplc="19D0B7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6D2128"/>
    <w:multiLevelType w:val="hybridMultilevel"/>
    <w:tmpl w:val="70FC07A6"/>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 w15:restartNumberingAfterBreak="0">
    <w:nsid w:val="1876187A"/>
    <w:multiLevelType w:val="multilevel"/>
    <w:tmpl w:val="81D2F348"/>
    <w:lvl w:ilvl="0">
      <w:start w:val="1"/>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8454217"/>
    <w:multiLevelType w:val="multilevel"/>
    <w:tmpl w:val="07360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46"/>
        </w:tabs>
        <w:ind w:left="1146" w:hanging="720"/>
      </w:pPr>
      <w:rPr>
        <w:rFonts w:hint="default"/>
      </w:rPr>
    </w:lvl>
    <w:lvl w:ilvl="3">
      <w:start w:val="1"/>
      <w:numFmt w:val="lowerLetter"/>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C1343C7"/>
    <w:multiLevelType w:val="multilevel"/>
    <w:tmpl w:val="BE705B00"/>
    <w:lvl w:ilvl="0">
      <w:start w:val="1"/>
      <w:numFmt w:val="lowerLetter"/>
      <w:lvlText w:val="%1)"/>
      <w:lvlJc w:val="left"/>
      <w:pPr>
        <w:ind w:left="106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5212C50"/>
    <w:multiLevelType w:val="multilevel"/>
    <w:tmpl w:val="74AA000C"/>
    <w:lvl w:ilvl="0">
      <w:start w:val="4"/>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03464C4"/>
    <w:multiLevelType w:val="hybridMultilevel"/>
    <w:tmpl w:val="03589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616985"/>
    <w:multiLevelType w:val="hybridMultilevel"/>
    <w:tmpl w:val="DBF83430"/>
    <w:lvl w:ilvl="0" w:tplc="FFFFFFFF">
      <w:start w:val="1"/>
      <w:numFmt w:val="bullet"/>
      <w:lvlText w:val=""/>
      <w:lvlJc w:val="left"/>
      <w:pPr>
        <w:tabs>
          <w:tab w:val="num" w:pos="1080"/>
        </w:tabs>
        <w:ind w:left="1080" w:hanging="360"/>
      </w:pPr>
      <w:rPr>
        <w:rFonts w:ascii="Wingdings" w:hAnsi="Wingdings" w:hint="default"/>
      </w:rPr>
    </w:lvl>
    <w:lvl w:ilvl="1" w:tplc="8E04D62E">
      <w:start w:val="1"/>
      <w:numFmt w:val="bullet"/>
      <w:lvlText w:val="-"/>
      <w:lvlJc w:val="left"/>
      <w:pPr>
        <w:tabs>
          <w:tab w:val="num" w:pos="1800"/>
        </w:tabs>
        <w:ind w:left="1800" w:hanging="360"/>
      </w:pPr>
      <w:rPr>
        <w:rFonts w:ascii="Calibri" w:eastAsia="Times New Roman" w:hAnsi="Calibri" w:cs="Calibri"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76199A"/>
    <w:multiLevelType w:val="multilevel"/>
    <w:tmpl w:val="A70CE20C"/>
    <w:lvl w:ilvl="0">
      <w:start w:val="3"/>
      <w:numFmt w:val="decimal"/>
      <w:lvlText w:val="%1."/>
      <w:lvlJc w:val="left"/>
      <w:pPr>
        <w:ind w:left="660" w:hanging="660"/>
      </w:pPr>
    </w:lvl>
    <w:lvl w:ilvl="1">
      <w:start w:val="1"/>
      <w:numFmt w:val="decimal"/>
      <w:lvlText w:val="%1.%2."/>
      <w:lvlJc w:val="left"/>
      <w:pPr>
        <w:ind w:left="660" w:hanging="6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CD15E30"/>
    <w:multiLevelType w:val="hybridMultilevel"/>
    <w:tmpl w:val="EC74B2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5"/>
  </w:num>
  <w:num w:numId="6">
    <w:abstractNumId w:val="2"/>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2"/>
    <w:rsid w:val="00025E32"/>
    <w:rsid w:val="00042545"/>
    <w:rsid w:val="000504AD"/>
    <w:rsid w:val="00056506"/>
    <w:rsid w:val="00093673"/>
    <w:rsid w:val="000960E3"/>
    <w:rsid w:val="000A3F4D"/>
    <w:rsid w:val="000B7D3F"/>
    <w:rsid w:val="00157ABC"/>
    <w:rsid w:val="001F2243"/>
    <w:rsid w:val="002A03DA"/>
    <w:rsid w:val="00360E7B"/>
    <w:rsid w:val="00374118"/>
    <w:rsid w:val="00381E84"/>
    <w:rsid w:val="003C364B"/>
    <w:rsid w:val="0040300A"/>
    <w:rsid w:val="00405B00"/>
    <w:rsid w:val="00413A81"/>
    <w:rsid w:val="00440250"/>
    <w:rsid w:val="00464F17"/>
    <w:rsid w:val="004847DC"/>
    <w:rsid w:val="00486250"/>
    <w:rsid w:val="004E3D9A"/>
    <w:rsid w:val="005374DA"/>
    <w:rsid w:val="005473C7"/>
    <w:rsid w:val="00563903"/>
    <w:rsid w:val="00572600"/>
    <w:rsid w:val="005963CB"/>
    <w:rsid w:val="005B074F"/>
    <w:rsid w:val="005E2DBC"/>
    <w:rsid w:val="00663C8D"/>
    <w:rsid w:val="006D007C"/>
    <w:rsid w:val="007209CA"/>
    <w:rsid w:val="00841402"/>
    <w:rsid w:val="008613CA"/>
    <w:rsid w:val="008845F0"/>
    <w:rsid w:val="008B2ED2"/>
    <w:rsid w:val="008F3D9F"/>
    <w:rsid w:val="00926FF5"/>
    <w:rsid w:val="00932839"/>
    <w:rsid w:val="00970970"/>
    <w:rsid w:val="00991091"/>
    <w:rsid w:val="009D0ABF"/>
    <w:rsid w:val="00A4129F"/>
    <w:rsid w:val="00AE1CE9"/>
    <w:rsid w:val="00B56400"/>
    <w:rsid w:val="00BB6F69"/>
    <w:rsid w:val="00BE6BC1"/>
    <w:rsid w:val="00C7180A"/>
    <w:rsid w:val="00DA7CA0"/>
    <w:rsid w:val="00DB44B4"/>
    <w:rsid w:val="00DD7E31"/>
    <w:rsid w:val="00E56AD9"/>
    <w:rsid w:val="00E74412"/>
    <w:rsid w:val="00EC66BC"/>
    <w:rsid w:val="00EC6AAE"/>
    <w:rsid w:val="00F07C02"/>
    <w:rsid w:val="00F224E1"/>
    <w:rsid w:val="00F53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55EAB2E-D5D1-4C90-9C1C-66257F98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6506"/>
    <w:pPr>
      <w:spacing w:after="200" w:line="276" w:lineRule="auto"/>
    </w:pPr>
    <w:rPr>
      <w:rFonts w:eastAsia="Calibri"/>
      <w:sz w:val="22"/>
      <w:szCs w:val="22"/>
      <w:lang w:eastAsia="en-US"/>
    </w:rPr>
  </w:style>
  <w:style w:type="paragraph" w:styleId="Nadpis1">
    <w:name w:val="heading 1"/>
    <w:basedOn w:val="Normln"/>
    <w:next w:val="Normln"/>
    <w:link w:val="Nadpis1Char"/>
    <w:qFormat/>
    <w:rsid w:val="002A03DA"/>
    <w:pPr>
      <w:keepNext/>
      <w:keepLines/>
      <w:spacing w:before="400" w:after="40" w:line="240" w:lineRule="auto"/>
      <w:outlineLvl w:val="0"/>
    </w:pPr>
    <w:rPr>
      <w:color w:val="806E00"/>
      <w:sz w:val="36"/>
      <w:szCs w:val="36"/>
    </w:rPr>
  </w:style>
  <w:style w:type="paragraph" w:styleId="Nadpis2">
    <w:name w:val="heading 2"/>
    <w:aliases w:val="Nadpisspec2"/>
    <w:basedOn w:val="Normln"/>
    <w:next w:val="Normln"/>
    <w:link w:val="Nadpis2Char"/>
    <w:unhideWhenUsed/>
    <w:qFormat/>
    <w:rsid w:val="002A03DA"/>
    <w:pPr>
      <w:keepNext/>
      <w:keepLines/>
      <w:spacing w:before="40" w:after="0" w:line="240" w:lineRule="auto"/>
      <w:outlineLvl w:val="1"/>
    </w:pPr>
    <w:rPr>
      <w:color w:val="BFA500"/>
      <w:sz w:val="32"/>
      <w:szCs w:val="32"/>
    </w:rPr>
  </w:style>
  <w:style w:type="paragraph" w:styleId="Nadpis3">
    <w:name w:val="heading 3"/>
    <w:basedOn w:val="Normln"/>
    <w:next w:val="Normln"/>
    <w:link w:val="Nadpis3Char"/>
    <w:unhideWhenUsed/>
    <w:qFormat/>
    <w:rsid w:val="002A03DA"/>
    <w:pPr>
      <w:keepNext/>
      <w:keepLines/>
      <w:spacing w:before="40" w:after="0" w:line="240" w:lineRule="auto"/>
      <w:outlineLvl w:val="2"/>
    </w:pPr>
    <w:rPr>
      <w:color w:val="BFA500"/>
      <w:sz w:val="28"/>
      <w:szCs w:val="28"/>
    </w:rPr>
  </w:style>
  <w:style w:type="paragraph" w:styleId="Nadpis4">
    <w:name w:val="heading 4"/>
    <w:basedOn w:val="Normln"/>
    <w:next w:val="Normln"/>
    <w:link w:val="Nadpis4Char"/>
    <w:unhideWhenUsed/>
    <w:qFormat/>
    <w:rsid w:val="002A03DA"/>
    <w:pPr>
      <w:keepNext/>
      <w:keepLines/>
      <w:spacing w:before="40" w:after="0"/>
      <w:outlineLvl w:val="3"/>
    </w:pPr>
    <w:rPr>
      <w:color w:val="BFA500"/>
      <w:sz w:val="24"/>
      <w:szCs w:val="24"/>
    </w:rPr>
  </w:style>
  <w:style w:type="paragraph" w:styleId="Nadpis5">
    <w:name w:val="heading 5"/>
    <w:basedOn w:val="Normln"/>
    <w:next w:val="Normln"/>
    <w:link w:val="Nadpis5Char"/>
    <w:unhideWhenUsed/>
    <w:qFormat/>
    <w:rsid w:val="002A03DA"/>
    <w:pPr>
      <w:keepNext/>
      <w:keepLines/>
      <w:spacing w:before="40" w:after="0"/>
      <w:outlineLvl w:val="4"/>
    </w:pPr>
    <w:rPr>
      <w:caps/>
      <w:color w:val="BFA500"/>
    </w:rPr>
  </w:style>
  <w:style w:type="paragraph" w:styleId="Nadpis6">
    <w:name w:val="heading 6"/>
    <w:basedOn w:val="Normln"/>
    <w:next w:val="Normln"/>
    <w:link w:val="Nadpis6Char"/>
    <w:uiPriority w:val="9"/>
    <w:semiHidden/>
    <w:unhideWhenUsed/>
    <w:qFormat/>
    <w:rsid w:val="002A03DA"/>
    <w:pPr>
      <w:keepNext/>
      <w:keepLines/>
      <w:spacing w:before="40" w:after="0"/>
      <w:outlineLvl w:val="5"/>
    </w:pPr>
    <w:rPr>
      <w:i/>
      <w:iCs/>
      <w:caps/>
      <w:color w:val="806E00"/>
    </w:rPr>
  </w:style>
  <w:style w:type="paragraph" w:styleId="Nadpis7">
    <w:name w:val="heading 7"/>
    <w:basedOn w:val="Normln"/>
    <w:next w:val="Normln"/>
    <w:link w:val="Nadpis7Char"/>
    <w:unhideWhenUsed/>
    <w:qFormat/>
    <w:rsid w:val="002A03DA"/>
    <w:pPr>
      <w:keepNext/>
      <w:keepLines/>
      <w:spacing w:before="40" w:after="0"/>
      <w:outlineLvl w:val="6"/>
    </w:pPr>
    <w:rPr>
      <w:b/>
      <w:bCs/>
      <w:color w:val="806E00"/>
    </w:rPr>
  </w:style>
  <w:style w:type="paragraph" w:styleId="Nadpis8">
    <w:name w:val="heading 8"/>
    <w:basedOn w:val="Normln"/>
    <w:next w:val="Normln"/>
    <w:link w:val="Nadpis8Char"/>
    <w:unhideWhenUsed/>
    <w:qFormat/>
    <w:rsid w:val="002A03DA"/>
    <w:pPr>
      <w:keepNext/>
      <w:keepLines/>
      <w:spacing w:before="40" w:after="0"/>
      <w:outlineLvl w:val="7"/>
    </w:pPr>
    <w:rPr>
      <w:b/>
      <w:bCs/>
      <w:i/>
      <w:iCs/>
      <w:color w:val="806E00"/>
    </w:rPr>
  </w:style>
  <w:style w:type="paragraph" w:styleId="Nadpis9">
    <w:name w:val="heading 9"/>
    <w:basedOn w:val="Normln"/>
    <w:next w:val="Normln"/>
    <w:link w:val="Nadpis9Char"/>
    <w:uiPriority w:val="9"/>
    <w:semiHidden/>
    <w:unhideWhenUsed/>
    <w:qFormat/>
    <w:rsid w:val="002A03DA"/>
    <w:pPr>
      <w:keepNext/>
      <w:keepLines/>
      <w:spacing w:before="40" w:after="0"/>
      <w:outlineLvl w:val="8"/>
    </w:pPr>
    <w:rPr>
      <w:i/>
      <w:iCs/>
      <w:color w:val="806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BE6BC1"/>
    <w:pPr>
      <w:tabs>
        <w:tab w:val="center" w:pos="4536"/>
        <w:tab w:val="right" w:pos="9072"/>
      </w:tabs>
      <w:spacing w:line="240" w:lineRule="auto"/>
    </w:pPr>
  </w:style>
  <w:style w:type="character" w:customStyle="1" w:styleId="ZpatChar">
    <w:name w:val="Zápatí Char"/>
    <w:link w:val="Zpat"/>
    <w:rsid w:val="00BE6BC1"/>
    <w:rPr>
      <w:rFonts w:ascii="Arial" w:eastAsia="Calibri" w:hAnsi="Arial" w:cs="Times New Roman"/>
      <w:szCs w:val="18"/>
    </w:rPr>
  </w:style>
  <w:style w:type="paragraph" w:styleId="Zhlav">
    <w:name w:val="header"/>
    <w:basedOn w:val="Normln"/>
    <w:link w:val="ZhlavChar"/>
    <w:unhideWhenUsed/>
    <w:rsid w:val="00663C8D"/>
    <w:pPr>
      <w:tabs>
        <w:tab w:val="center" w:pos="4536"/>
        <w:tab w:val="right" w:pos="9072"/>
      </w:tabs>
      <w:spacing w:line="240" w:lineRule="auto"/>
    </w:pPr>
  </w:style>
  <w:style w:type="character" w:customStyle="1" w:styleId="ZhlavChar">
    <w:name w:val="Záhlaví Char"/>
    <w:link w:val="Zhlav"/>
    <w:rsid w:val="00663C8D"/>
    <w:rPr>
      <w:rFonts w:ascii="Arial" w:eastAsia="Calibri" w:hAnsi="Arial" w:cs="Times New Roman"/>
      <w:szCs w:val="18"/>
    </w:rPr>
  </w:style>
  <w:style w:type="character" w:styleId="Hypertextovodkaz">
    <w:name w:val="Hyperlink"/>
    <w:unhideWhenUsed/>
    <w:rsid w:val="005374DA"/>
    <w:rPr>
      <w:color w:val="00467A"/>
      <w:u w:val="single"/>
    </w:rPr>
  </w:style>
  <w:style w:type="character" w:customStyle="1" w:styleId="Nadpis1Char">
    <w:name w:val="Nadpis 1 Char"/>
    <w:link w:val="Nadpis1"/>
    <w:rsid w:val="002A03DA"/>
    <w:rPr>
      <w:rFonts w:ascii="Calibri" w:eastAsia="Times New Roman" w:hAnsi="Calibri" w:cs="Times New Roman"/>
      <w:color w:val="806E00"/>
      <w:sz w:val="36"/>
      <w:szCs w:val="36"/>
    </w:rPr>
  </w:style>
  <w:style w:type="character" w:customStyle="1" w:styleId="Nadpis2Char">
    <w:name w:val="Nadpis 2 Char"/>
    <w:aliases w:val="Nadpisspec2 Char"/>
    <w:link w:val="Nadpis2"/>
    <w:rsid w:val="002A03DA"/>
    <w:rPr>
      <w:rFonts w:ascii="Calibri" w:eastAsia="Times New Roman" w:hAnsi="Calibri" w:cs="Times New Roman"/>
      <w:color w:val="BFA500"/>
      <w:sz w:val="32"/>
      <w:szCs w:val="32"/>
    </w:rPr>
  </w:style>
  <w:style w:type="character" w:customStyle="1" w:styleId="Nadpis3Char">
    <w:name w:val="Nadpis 3 Char"/>
    <w:link w:val="Nadpis3"/>
    <w:rsid w:val="002A03DA"/>
    <w:rPr>
      <w:rFonts w:ascii="Calibri" w:eastAsia="Times New Roman" w:hAnsi="Calibri" w:cs="Times New Roman"/>
      <w:color w:val="BFA500"/>
      <w:sz w:val="28"/>
      <w:szCs w:val="28"/>
    </w:rPr>
  </w:style>
  <w:style w:type="character" w:customStyle="1" w:styleId="Nadpis4Char">
    <w:name w:val="Nadpis 4 Char"/>
    <w:link w:val="Nadpis4"/>
    <w:rsid w:val="002A03DA"/>
    <w:rPr>
      <w:rFonts w:ascii="Calibri" w:eastAsia="Times New Roman" w:hAnsi="Calibri" w:cs="Times New Roman"/>
      <w:color w:val="BFA500"/>
      <w:sz w:val="24"/>
      <w:szCs w:val="24"/>
    </w:rPr>
  </w:style>
  <w:style w:type="character" w:customStyle="1" w:styleId="Nadpis5Char">
    <w:name w:val="Nadpis 5 Char"/>
    <w:link w:val="Nadpis5"/>
    <w:rsid w:val="002A03DA"/>
    <w:rPr>
      <w:rFonts w:ascii="Calibri" w:eastAsia="Times New Roman" w:hAnsi="Calibri" w:cs="Times New Roman"/>
      <w:caps/>
      <w:color w:val="BFA500"/>
    </w:rPr>
  </w:style>
  <w:style w:type="character" w:customStyle="1" w:styleId="Nadpis6Char">
    <w:name w:val="Nadpis 6 Char"/>
    <w:link w:val="Nadpis6"/>
    <w:uiPriority w:val="9"/>
    <w:semiHidden/>
    <w:rsid w:val="002A03DA"/>
    <w:rPr>
      <w:rFonts w:ascii="Calibri" w:eastAsia="Times New Roman" w:hAnsi="Calibri" w:cs="Times New Roman"/>
      <w:i/>
      <w:iCs/>
      <w:caps/>
      <w:color w:val="806E00"/>
    </w:rPr>
  </w:style>
  <w:style w:type="character" w:customStyle="1" w:styleId="Nadpis7Char">
    <w:name w:val="Nadpis 7 Char"/>
    <w:link w:val="Nadpis7"/>
    <w:rsid w:val="002A03DA"/>
    <w:rPr>
      <w:rFonts w:ascii="Calibri" w:eastAsia="Times New Roman" w:hAnsi="Calibri" w:cs="Times New Roman"/>
      <w:b/>
      <w:bCs/>
      <w:color w:val="806E00"/>
    </w:rPr>
  </w:style>
  <w:style w:type="character" w:customStyle="1" w:styleId="Nadpis8Char">
    <w:name w:val="Nadpis 8 Char"/>
    <w:link w:val="Nadpis8"/>
    <w:rsid w:val="002A03DA"/>
    <w:rPr>
      <w:rFonts w:ascii="Calibri" w:eastAsia="Times New Roman" w:hAnsi="Calibri" w:cs="Times New Roman"/>
      <w:b/>
      <w:bCs/>
      <w:i/>
      <w:iCs/>
      <w:color w:val="806E00"/>
    </w:rPr>
  </w:style>
  <w:style w:type="character" w:customStyle="1" w:styleId="Nadpis9Char">
    <w:name w:val="Nadpis 9 Char"/>
    <w:link w:val="Nadpis9"/>
    <w:uiPriority w:val="9"/>
    <w:semiHidden/>
    <w:rsid w:val="002A03DA"/>
    <w:rPr>
      <w:rFonts w:ascii="Calibri" w:eastAsia="Times New Roman" w:hAnsi="Calibri" w:cs="Times New Roman"/>
      <w:i/>
      <w:iCs/>
      <w:color w:val="806E00"/>
    </w:rPr>
  </w:style>
  <w:style w:type="paragraph" w:styleId="Titulek">
    <w:name w:val="caption"/>
    <w:basedOn w:val="Normln"/>
    <w:next w:val="Normln"/>
    <w:uiPriority w:val="35"/>
    <w:semiHidden/>
    <w:unhideWhenUsed/>
    <w:qFormat/>
    <w:rsid w:val="002A03DA"/>
    <w:pPr>
      <w:spacing w:line="240" w:lineRule="auto"/>
    </w:pPr>
    <w:rPr>
      <w:b/>
      <w:bCs/>
      <w:smallCaps/>
      <w:color w:val="00467A"/>
    </w:rPr>
  </w:style>
  <w:style w:type="paragraph" w:styleId="Nzev">
    <w:name w:val="Title"/>
    <w:basedOn w:val="Normln"/>
    <w:next w:val="Normln"/>
    <w:link w:val="NzevChar"/>
    <w:uiPriority w:val="10"/>
    <w:qFormat/>
    <w:rsid w:val="002A03DA"/>
    <w:pPr>
      <w:spacing w:after="0" w:line="204" w:lineRule="auto"/>
      <w:contextualSpacing/>
    </w:pPr>
    <w:rPr>
      <w:caps/>
      <w:color w:val="00467A"/>
      <w:spacing w:val="-15"/>
      <w:sz w:val="72"/>
      <w:szCs w:val="72"/>
    </w:rPr>
  </w:style>
  <w:style w:type="character" w:customStyle="1" w:styleId="NzevChar">
    <w:name w:val="Název Char"/>
    <w:link w:val="Nzev"/>
    <w:uiPriority w:val="10"/>
    <w:rsid w:val="002A03DA"/>
    <w:rPr>
      <w:rFonts w:ascii="Calibri" w:eastAsia="Times New Roman" w:hAnsi="Calibri" w:cs="Times New Roman"/>
      <w:caps/>
      <w:color w:val="00467A"/>
      <w:spacing w:val="-15"/>
      <w:sz w:val="72"/>
      <w:szCs w:val="72"/>
    </w:rPr>
  </w:style>
  <w:style w:type="paragraph" w:styleId="Podnadpis">
    <w:name w:val="Subtitle"/>
    <w:basedOn w:val="Normln"/>
    <w:next w:val="Normln"/>
    <w:link w:val="PodnadpisChar"/>
    <w:uiPriority w:val="11"/>
    <w:qFormat/>
    <w:rsid w:val="002A03DA"/>
    <w:pPr>
      <w:numPr>
        <w:ilvl w:val="1"/>
      </w:numPr>
      <w:spacing w:after="240" w:line="240" w:lineRule="auto"/>
    </w:pPr>
    <w:rPr>
      <w:color w:val="FFDD00"/>
      <w:sz w:val="28"/>
      <w:szCs w:val="28"/>
    </w:rPr>
  </w:style>
  <w:style w:type="character" w:customStyle="1" w:styleId="PodnadpisChar">
    <w:name w:val="Podnadpis Char"/>
    <w:link w:val="Podnadpis"/>
    <w:uiPriority w:val="11"/>
    <w:rsid w:val="002A03DA"/>
    <w:rPr>
      <w:rFonts w:ascii="Calibri" w:eastAsia="Times New Roman" w:hAnsi="Calibri" w:cs="Times New Roman"/>
      <w:color w:val="FFDD00"/>
      <w:sz w:val="28"/>
      <w:szCs w:val="28"/>
    </w:rPr>
  </w:style>
  <w:style w:type="character" w:styleId="Siln">
    <w:name w:val="Strong"/>
    <w:uiPriority w:val="22"/>
    <w:qFormat/>
    <w:rsid w:val="002A03DA"/>
    <w:rPr>
      <w:b/>
      <w:bCs/>
    </w:rPr>
  </w:style>
  <w:style w:type="character" w:styleId="Zdraznn">
    <w:name w:val="Emphasis"/>
    <w:uiPriority w:val="20"/>
    <w:qFormat/>
    <w:rsid w:val="002A03DA"/>
    <w:rPr>
      <w:i/>
      <w:iCs/>
    </w:rPr>
  </w:style>
  <w:style w:type="paragraph" w:styleId="Bezmezer">
    <w:name w:val="No Spacing"/>
    <w:uiPriority w:val="1"/>
    <w:qFormat/>
    <w:rsid w:val="002A03DA"/>
    <w:rPr>
      <w:sz w:val="22"/>
      <w:szCs w:val="22"/>
      <w:lang w:eastAsia="en-US"/>
    </w:rPr>
  </w:style>
  <w:style w:type="paragraph" w:styleId="Citt">
    <w:name w:val="Quote"/>
    <w:basedOn w:val="Normln"/>
    <w:next w:val="Normln"/>
    <w:link w:val="CittChar"/>
    <w:uiPriority w:val="29"/>
    <w:qFormat/>
    <w:rsid w:val="002A03DA"/>
    <w:pPr>
      <w:spacing w:before="120" w:after="120"/>
      <w:ind w:left="720"/>
    </w:pPr>
    <w:rPr>
      <w:color w:val="00467A"/>
      <w:sz w:val="24"/>
      <w:szCs w:val="24"/>
    </w:rPr>
  </w:style>
  <w:style w:type="character" w:customStyle="1" w:styleId="CittChar">
    <w:name w:val="Citát Char"/>
    <w:link w:val="Citt"/>
    <w:uiPriority w:val="29"/>
    <w:rsid w:val="002A03DA"/>
    <w:rPr>
      <w:color w:val="00467A"/>
      <w:sz w:val="24"/>
      <w:szCs w:val="24"/>
    </w:rPr>
  </w:style>
  <w:style w:type="paragraph" w:styleId="Vrazncitt">
    <w:name w:val="Intense Quote"/>
    <w:basedOn w:val="Normln"/>
    <w:next w:val="Normln"/>
    <w:link w:val="VrazncittChar"/>
    <w:uiPriority w:val="30"/>
    <w:qFormat/>
    <w:rsid w:val="002A03DA"/>
    <w:pPr>
      <w:spacing w:before="100" w:beforeAutospacing="1" w:after="240" w:line="240" w:lineRule="auto"/>
      <w:ind w:left="720"/>
      <w:jc w:val="center"/>
    </w:pPr>
    <w:rPr>
      <w:color w:val="00467A"/>
      <w:spacing w:val="-6"/>
      <w:sz w:val="32"/>
      <w:szCs w:val="32"/>
    </w:rPr>
  </w:style>
  <w:style w:type="character" w:customStyle="1" w:styleId="VrazncittChar">
    <w:name w:val="Výrazný citát Char"/>
    <w:link w:val="Vrazncitt"/>
    <w:uiPriority w:val="30"/>
    <w:rsid w:val="002A03DA"/>
    <w:rPr>
      <w:rFonts w:ascii="Calibri" w:eastAsia="Times New Roman" w:hAnsi="Calibri" w:cs="Times New Roman"/>
      <w:color w:val="00467A"/>
      <w:spacing w:val="-6"/>
      <w:sz w:val="32"/>
      <w:szCs w:val="32"/>
    </w:rPr>
  </w:style>
  <w:style w:type="character" w:styleId="Zdraznnjemn">
    <w:name w:val="Subtle Emphasis"/>
    <w:uiPriority w:val="19"/>
    <w:qFormat/>
    <w:rsid w:val="002A03DA"/>
    <w:rPr>
      <w:i/>
      <w:iCs/>
      <w:color w:val="85929A"/>
    </w:rPr>
  </w:style>
  <w:style w:type="character" w:styleId="Zdraznnintenzivn">
    <w:name w:val="Intense Emphasis"/>
    <w:uiPriority w:val="21"/>
    <w:qFormat/>
    <w:rsid w:val="002A03DA"/>
    <w:rPr>
      <w:b/>
      <w:bCs/>
      <w:i/>
      <w:iCs/>
    </w:rPr>
  </w:style>
  <w:style w:type="character" w:styleId="Odkazjemn">
    <w:name w:val="Subtle Reference"/>
    <w:uiPriority w:val="31"/>
    <w:qFormat/>
    <w:rsid w:val="002A03DA"/>
    <w:rPr>
      <w:smallCaps/>
      <w:color w:val="85929A"/>
      <w:u w:val="none" w:color="A0ABB1"/>
      <w:bdr w:val="none" w:sz="0" w:space="0" w:color="auto"/>
    </w:rPr>
  </w:style>
  <w:style w:type="character" w:styleId="Odkazintenzivn">
    <w:name w:val="Intense Reference"/>
    <w:uiPriority w:val="32"/>
    <w:qFormat/>
    <w:rsid w:val="002A03DA"/>
    <w:rPr>
      <w:b/>
      <w:bCs/>
      <w:smallCaps/>
      <w:color w:val="00467A"/>
      <w:u w:val="single"/>
    </w:rPr>
  </w:style>
  <w:style w:type="character" w:styleId="Nzevknihy">
    <w:name w:val="Book Title"/>
    <w:uiPriority w:val="33"/>
    <w:qFormat/>
    <w:rsid w:val="002A03DA"/>
    <w:rPr>
      <w:b/>
      <w:bCs/>
      <w:smallCaps/>
      <w:spacing w:val="10"/>
    </w:rPr>
  </w:style>
  <w:style w:type="paragraph" w:styleId="Nadpisobsahu">
    <w:name w:val="TOC Heading"/>
    <w:basedOn w:val="Nadpis1"/>
    <w:next w:val="Normln"/>
    <w:uiPriority w:val="39"/>
    <w:semiHidden/>
    <w:unhideWhenUsed/>
    <w:qFormat/>
    <w:rsid w:val="002A03DA"/>
    <w:pPr>
      <w:outlineLvl w:val="9"/>
    </w:pPr>
  </w:style>
  <w:style w:type="paragraph" w:styleId="Textbubliny">
    <w:name w:val="Balloon Text"/>
    <w:basedOn w:val="Normln"/>
    <w:link w:val="TextbublinyChar"/>
    <w:uiPriority w:val="99"/>
    <w:semiHidden/>
    <w:unhideWhenUsed/>
    <w:rsid w:val="005B074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B074F"/>
    <w:rPr>
      <w:rFonts w:ascii="Segoe UI" w:hAnsi="Segoe UI" w:cs="Segoe UI"/>
      <w:sz w:val="18"/>
      <w:szCs w:val="18"/>
    </w:rPr>
  </w:style>
  <w:style w:type="paragraph" w:customStyle="1" w:styleId="Normlnn1">
    <w:name w:val="Normální n1"/>
    <w:basedOn w:val="Normln"/>
    <w:rsid w:val="001F2243"/>
    <w:pPr>
      <w:keepLines/>
      <w:spacing w:before="120" w:after="0" w:line="240" w:lineRule="auto"/>
      <w:ind w:left="539"/>
      <w:jc w:val="both"/>
    </w:pPr>
    <w:rPr>
      <w:rFonts w:ascii="Times New Roman" w:hAnsi="Times New Roman"/>
      <w:sz w:val="24"/>
      <w:szCs w:val="24"/>
      <w:lang w:eastAsia="cs-CZ"/>
    </w:rPr>
  </w:style>
  <w:style w:type="paragraph" w:customStyle="1" w:styleId="Normlnn2">
    <w:name w:val="Normální n2"/>
    <w:basedOn w:val="Normln"/>
    <w:rsid w:val="001F2243"/>
    <w:pPr>
      <w:spacing w:before="120" w:after="0" w:line="240" w:lineRule="auto"/>
      <w:ind w:left="578"/>
      <w:jc w:val="both"/>
    </w:pPr>
    <w:rPr>
      <w:rFonts w:ascii="Times New Roman" w:hAnsi="Times New Roman"/>
      <w:sz w:val="24"/>
      <w:szCs w:val="24"/>
      <w:lang w:eastAsia="cs-CZ"/>
    </w:rPr>
  </w:style>
  <w:style w:type="paragraph" w:customStyle="1" w:styleId="Normlnn3">
    <w:name w:val="Normální n3"/>
    <w:basedOn w:val="Normlnn2"/>
    <w:rsid w:val="001F2243"/>
    <w:pPr>
      <w:ind w:left="709"/>
    </w:pPr>
  </w:style>
  <w:style w:type="paragraph" w:styleId="Normlnweb">
    <w:name w:val="Normal (Web)"/>
    <w:basedOn w:val="Normln"/>
    <w:uiPriority w:val="99"/>
    <w:semiHidden/>
    <w:unhideWhenUsed/>
    <w:rsid w:val="001F2243"/>
    <w:pPr>
      <w:spacing w:before="100" w:beforeAutospacing="1" w:after="100" w:afterAutospacing="1" w:line="240" w:lineRule="auto"/>
    </w:pPr>
    <w:rPr>
      <w:rFonts w:ascii="Times New Roman" w:hAnsi="Times New Roman"/>
      <w:sz w:val="24"/>
      <w:szCs w:val="24"/>
      <w:lang w:eastAsia="cs-CZ"/>
    </w:rPr>
  </w:style>
  <w:style w:type="character" w:styleId="slostrnky">
    <w:name w:val="page number"/>
    <w:semiHidden/>
    <w:unhideWhenUsed/>
    <w:rsid w:val="001F2243"/>
  </w:style>
  <w:style w:type="paragraph" w:styleId="Revize">
    <w:name w:val="Revision"/>
    <w:hidden/>
    <w:uiPriority w:val="99"/>
    <w:semiHidden/>
    <w:rsid w:val="001F2243"/>
    <w:rPr>
      <w:rFonts w:ascii="Times New Roman" w:hAnsi="Times New Roman"/>
      <w:sz w:val="24"/>
      <w:szCs w:val="24"/>
    </w:rPr>
  </w:style>
  <w:style w:type="character" w:styleId="Odkaznakoment">
    <w:name w:val="annotation reference"/>
    <w:uiPriority w:val="99"/>
    <w:semiHidden/>
    <w:unhideWhenUsed/>
    <w:rsid w:val="001F2243"/>
    <w:rPr>
      <w:sz w:val="16"/>
      <w:szCs w:val="16"/>
    </w:rPr>
  </w:style>
  <w:style w:type="paragraph" w:styleId="Textkomente">
    <w:name w:val="annotation text"/>
    <w:basedOn w:val="Normln"/>
    <w:link w:val="TextkomenteChar"/>
    <w:uiPriority w:val="99"/>
    <w:semiHidden/>
    <w:unhideWhenUsed/>
    <w:rsid w:val="001F2243"/>
    <w:pPr>
      <w:spacing w:after="0" w:line="240" w:lineRule="auto"/>
    </w:pPr>
    <w:rPr>
      <w:rFonts w:ascii="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1F2243"/>
    <w:rPr>
      <w:rFonts w:ascii="Times New Roman" w:hAnsi="Times New Roman"/>
    </w:rPr>
  </w:style>
  <w:style w:type="paragraph" w:styleId="Pedmtkomente">
    <w:name w:val="annotation subject"/>
    <w:basedOn w:val="Textkomente"/>
    <w:next w:val="Textkomente"/>
    <w:link w:val="PedmtkomenteChar"/>
    <w:uiPriority w:val="99"/>
    <w:semiHidden/>
    <w:unhideWhenUsed/>
    <w:rsid w:val="001F2243"/>
    <w:rPr>
      <w:b/>
      <w:bCs/>
    </w:rPr>
  </w:style>
  <w:style w:type="character" w:customStyle="1" w:styleId="PedmtkomenteChar">
    <w:name w:val="Předmět komentáře Char"/>
    <w:basedOn w:val="TextkomenteChar"/>
    <w:link w:val="Pedmtkomente"/>
    <w:uiPriority w:val="99"/>
    <w:semiHidden/>
    <w:rsid w:val="001F2243"/>
    <w:rPr>
      <w:rFonts w:ascii="Times New Roman" w:hAnsi="Times New Roman"/>
      <w:b/>
      <w:bCs/>
    </w:rPr>
  </w:style>
  <w:style w:type="paragraph" w:styleId="Odstavecseseznamem">
    <w:name w:val="List Paragraph"/>
    <w:basedOn w:val="Normln"/>
    <w:uiPriority w:val="34"/>
    <w:qFormat/>
    <w:rsid w:val="001F2243"/>
    <w:pPr>
      <w:spacing w:after="0" w:line="240" w:lineRule="auto"/>
      <w:ind w:left="720"/>
      <w:contextualSpacing/>
    </w:pPr>
    <w:rPr>
      <w:rFonts w:ascii="Times New Roman" w:hAnsi="Times New Roman"/>
      <w:sz w:val="24"/>
      <w:szCs w:val="24"/>
      <w:lang w:eastAsia="cs-CZ"/>
    </w:rPr>
  </w:style>
  <w:style w:type="paragraph" w:styleId="Zkladntextodsazen2">
    <w:name w:val="Body Text Indent 2"/>
    <w:basedOn w:val="Normln"/>
    <w:link w:val="Zkladntextodsazen2Char"/>
    <w:semiHidden/>
    <w:rsid w:val="001F2243"/>
    <w:pPr>
      <w:suppressAutoHyphens/>
      <w:autoSpaceDN w:val="0"/>
      <w:spacing w:after="0" w:line="240" w:lineRule="auto"/>
      <w:ind w:left="284" w:hanging="284"/>
      <w:jc w:val="both"/>
      <w:textAlignment w:val="baseline"/>
    </w:pPr>
    <w:rPr>
      <w:rFonts w:ascii="Times New Roman" w:hAnsi="Times New Roman"/>
      <w:sz w:val="20"/>
      <w:szCs w:val="20"/>
      <w:lang w:eastAsia="cs-CZ"/>
    </w:rPr>
  </w:style>
  <w:style w:type="character" w:customStyle="1" w:styleId="Zkladntextodsazen2Char">
    <w:name w:val="Základní text odsazený 2 Char"/>
    <w:basedOn w:val="Standardnpsmoodstavce"/>
    <w:link w:val="Zkladntextodsazen2"/>
    <w:semiHidden/>
    <w:rsid w:val="001F2243"/>
    <w:rPr>
      <w:rFonts w:ascii="Times New Roman" w:hAnsi="Times New Roman"/>
    </w:rPr>
  </w:style>
  <w:style w:type="paragraph" w:styleId="Zkladntextodsazen3">
    <w:name w:val="Body Text Indent 3"/>
    <w:basedOn w:val="Normln"/>
    <w:link w:val="Zkladntextodsazen3Char"/>
    <w:semiHidden/>
    <w:rsid w:val="001F2243"/>
    <w:pPr>
      <w:suppressAutoHyphens/>
      <w:autoSpaceDN w:val="0"/>
      <w:spacing w:after="0" w:line="240" w:lineRule="auto"/>
      <w:ind w:left="567" w:hanging="567"/>
      <w:jc w:val="both"/>
      <w:textAlignment w:val="baseline"/>
    </w:pPr>
    <w:rPr>
      <w:rFonts w:ascii="Times New Roman" w:hAnsi="Times New Roman"/>
      <w:sz w:val="24"/>
      <w:szCs w:val="20"/>
      <w:lang w:eastAsia="cs-CZ"/>
    </w:rPr>
  </w:style>
  <w:style w:type="character" w:customStyle="1" w:styleId="Zkladntextodsazen3Char">
    <w:name w:val="Základní text odsazený 3 Char"/>
    <w:basedOn w:val="Standardnpsmoodstavce"/>
    <w:link w:val="Zkladntextodsazen3"/>
    <w:semiHidden/>
    <w:rsid w:val="001F2243"/>
    <w:rPr>
      <w:rFonts w:ascii="Times New Roman" w:hAnsi="Times New Roman"/>
      <w:sz w:val="24"/>
    </w:rPr>
  </w:style>
  <w:style w:type="character" w:customStyle="1" w:styleId="UnresolvedMention">
    <w:name w:val="Unresolved Mention"/>
    <w:uiPriority w:val="99"/>
    <w:semiHidden/>
    <w:unhideWhenUsed/>
    <w:rsid w:val="001F2243"/>
    <w:rPr>
      <w:color w:val="605E5C"/>
      <w:shd w:val="clear" w:color="auto" w:fill="E1DFDD"/>
    </w:rPr>
  </w:style>
  <w:style w:type="character" w:styleId="Sledovanodkaz">
    <w:name w:val="FollowedHyperlink"/>
    <w:basedOn w:val="Standardnpsmoodstavce"/>
    <w:uiPriority w:val="99"/>
    <w:semiHidden/>
    <w:unhideWhenUsed/>
    <w:rsid w:val="001F2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_00_LOGA\_brand%20manual%20new\Hl.pap&#237;r\new\QPB_QSR_Instructions_2022\QPB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3AFD-9C9C-4673-BFE9-0EF06A7C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QPB_2022</Template>
  <TotalTime>20</TotalTime>
  <Pages>2</Pages>
  <Words>797</Words>
  <Characters>4703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Pospíšilová Lenka Bc.</dc:creator>
  <cp:keywords/>
  <dc:description/>
  <cp:lastModifiedBy>Pospíšilová Lenka Bc.</cp:lastModifiedBy>
  <cp:revision>10</cp:revision>
  <cp:lastPrinted>2021-08-26T11:20:00Z</cp:lastPrinted>
  <dcterms:created xsi:type="dcterms:W3CDTF">2022-02-17T21:49:00Z</dcterms:created>
  <dcterms:modified xsi:type="dcterms:W3CDTF">2022-02-17T22:14:00Z</dcterms:modified>
</cp:coreProperties>
</file>